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705465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3028DC" w:rsidRPr="00395EC6">
              <w:rPr>
                <w:rFonts w:eastAsia="Calibri"/>
                <w:b/>
                <w:i/>
              </w:rPr>
              <w:t xml:space="preserve">№ 11 от 15.10.2024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3028DC" w:rsidRPr="00395EC6">
              <w:rPr>
                <w:rFonts w:eastAsia="Calibri"/>
                <w:b/>
                <w:i/>
              </w:rPr>
              <w:t xml:space="preserve">№ 11 от 15.10.2024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3028DC" w:rsidRPr="00395EC6">
              <w:rPr>
                <w:rFonts w:eastAsia="Calibri"/>
                <w:b/>
                <w:i/>
              </w:rPr>
              <w:t xml:space="preserve">№ 11 от 15.10.2024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3028DC">
              <w:rPr>
                <w:rFonts w:eastAsia="Calibri"/>
                <w:b/>
                <w:i/>
              </w:rPr>
              <w:t>1</w:t>
            </w:r>
            <w:r w:rsidR="00BC4EBE">
              <w:rPr>
                <w:rFonts w:eastAsia="Calibri"/>
                <w:b/>
                <w:i/>
              </w:rPr>
              <w:t>7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028DC">
              <w:rPr>
                <w:rFonts w:eastAsia="Calibri"/>
                <w:b/>
                <w:i/>
              </w:rPr>
              <w:t>499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028DC">
              <w:rPr>
                <w:rFonts w:eastAsia="Calibri"/>
                <w:b/>
                <w:i/>
              </w:rPr>
              <w:t>999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3028DC">
              <w:rPr>
                <w:rFonts w:eastAsia="Calibri"/>
                <w:b/>
                <w:i/>
              </w:rPr>
              <w:t>99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65" w:rsidRDefault="00705465">
      <w:r>
        <w:separator/>
      </w:r>
    </w:p>
  </w:endnote>
  <w:endnote w:type="continuationSeparator" w:id="0">
    <w:p w:rsidR="00705465" w:rsidRDefault="0070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65" w:rsidRDefault="00705465">
      <w:r>
        <w:separator/>
      </w:r>
    </w:p>
  </w:footnote>
  <w:footnote w:type="continuationSeparator" w:id="0">
    <w:p w:rsidR="00705465" w:rsidRDefault="0070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64464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C39F3"/>
    <w:rsid w:val="00705465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A05EB0"/>
    <w:rsid w:val="00A5063A"/>
    <w:rsid w:val="00A749BE"/>
    <w:rsid w:val="00AA27C5"/>
    <w:rsid w:val="00AB2C0F"/>
    <w:rsid w:val="00AF6690"/>
    <w:rsid w:val="00B22985"/>
    <w:rsid w:val="00B22B0B"/>
    <w:rsid w:val="00B51D0C"/>
    <w:rsid w:val="00BA10E8"/>
    <w:rsid w:val="00BC1A1D"/>
    <w:rsid w:val="00BC4EBE"/>
    <w:rsid w:val="00BF4D9B"/>
    <w:rsid w:val="00C03C12"/>
    <w:rsid w:val="00C25BBA"/>
    <w:rsid w:val="00C7613B"/>
    <w:rsid w:val="00C93576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2026-05-04T12:39:00Z</dcterms:created>
  <dcterms:modified xsi:type="dcterms:W3CDTF">2026-05-04T14:52:00Z</dcterms:modified>
</cp:coreProperties>
</file>